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D9" w:rsidRPr="0076382D" w:rsidRDefault="0076382D" w:rsidP="003E4874">
      <w:pPr>
        <w:jc w:val="center"/>
        <w:rPr>
          <w:b/>
        </w:rPr>
      </w:pPr>
      <w:r w:rsidRPr="0076382D">
        <w:rPr>
          <w:b/>
        </w:rPr>
        <w:t>LEARNING TAXONOMIES: DEFINITIONS AND KEY WORDS</w:t>
      </w:r>
    </w:p>
    <w:p w:rsidR="0076382D" w:rsidRDefault="0076382D"/>
    <w:p w:rsidR="00EC0CD9" w:rsidRPr="00E27846" w:rsidRDefault="00666B9B">
      <w:pPr>
        <w:rPr>
          <w:b/>
          <w:color w:val="984806" w:themeColor="accent6" w:themeShade="80"/>
        </w:rPr>
      </w:pPr>
      <w:r w:rsidRPr="00E27846">
        <w:rPr>
          <w:b/>
          <w:color w:val="984806" w:themeColor="accent6" w:themeShade="80"/>
        </w:rPr>
        <w:t>Cognitive Taxonomy</w:t>
      </w:r>
    </w:p>
    <w:tbl>
      <w:tblPr>
        <w:tblStyle w:val="TableGrid"/>
        <w:tblW w:w="0" w:type="auto"/>
        <w:shd w:val="clear" w:color="auto" w:fill="FBD4B4" w:themeFill="accent6" w:themeFillTint="66"/>
        <w:tblLook w:val="04A0"/>
      </w:tblPr>
      <w:tblGrid>
        <w:gridCol w:w="1638"/>
        <w:gridCol w:w="3510"/>
        <w:gridCol w:w="4410"/>
      </w:tblGrid>
      <w:tr w:rsidR="00666B9B" w:rsidRPr="00666B9B" w:rsidTr="003E4874">
        <w:tc>
          <w:tcPr>
            <w:tcW w:w="1638" w:type="dxa"/>
            <w:shd w:val="clear" w:color="auto" w:fill="FBD4B4" w:themeFill="accent6" w:themeFillTint="66"/>
          </w:tcPr>
          <w:p w:rsidR="00666B9B" w:rsidRPr="00666B9B" w:rsidRDefault="00666B9B">
            <w:pPr>
              <w:rPr>
                <w:b/>
              </w:rPr>
            </w:pPr>
            <w:r w:rsidRPr="00666B9B">
              <w:rPr>
                <w:b/>
              </w:rPr>
              <w:t>Levels</w:t>
            </w:r>
          </w:p>
        </w:tc>
        <w:tc>
          <w:tcPr>
            <w:tcW w:w="3510" w:type="dxa"/>
            <w:shd w:val="clear" w:color="auto" w:fill="FBD4B4" w:themeFill="accent6" w:themeFillTint="66"/>
          </w:tcPr>
          <w:p w:rsidR="00666B9B" w:rsidRPr="00666B9B" w:rsidRDefault="00666B9B">
            <w:pPr>
              <w:rPr>
                <w:b/>
              </w:rPr>
            </w:pPr>
            <w:r w:rsidRPr="00666B9B">
              <w:rPr>
                <w:b/>
              </w:rPr>
              <w:t>Definition</w:t>
            </w:r>
          </w:p>
        </w:tc>
        <w:tc>
          <w:tcPr>
            <w:tcW w:w="4410" w:type="dxa"/>
            <w:shd w:val="clear" w:color="auto" w:fill="FBD4B4" w:themeFill="accent6" w:themeFillTint="66"/>
          </w:tcPr>
          <w:p w:rsidR="00666B9B" w:rsidRPr="00666B9B" w:rsidRDefault="00666B9B">
            <w:pPr>
              <w:rPr>
                <w:b/>
              </w:rPr>
            </w:pPr>
            <w:r w:rsidRPr="00666B9B">
              <w:rPr>
                <w:b/>
              </w:rPr>
              <w:t>Key Words</w:t>
            </w:r>
          </w:p>
        </w:tc>
      </w:tr>
      <w:tr w:rsidR="00666B9B" w:rsidTr="003E4874">
        <w:tc>
          <w:tcPr>
            <w:tcW w:w="1638" w:type="dxa"/>
            <w:shd w:val="clear" w:color="auto" w:fill="FBD4B4" w:themeFill="accent6" w:themeFillTint="66"/>
          </w:tcPr>
          <w:p w:rsidR="00666B9B" w:rsidRPr="00666B9B" w:rsidRDefault="00666B9B" w:rsidP="00FA39B3">
            <w:pPr>
              <w:rPr>
                <w:b/>
              </w:rPr>
            </w:pPr>
            <w:r w:rsidRPr="00666B9B">
              <w:rPr>
                <w:b/>
              </w:rPr>
              <w:t>Remember</w:t>
            </w:r>
          </w:p>
        </w:tc>
        <w:tc>
          <w:tcPr>
            <w:tcW w:w="3510" w:type="dxa"/>
            <w:shd w:val="clear" w:color="auto" w:fill="FBD4B4" w:themeFill="accent6" w:themeFillTint="66"/>
          </w:tcPr>
          <w:p w:rsidR="00666B9B" w:rsidRDefault="00666B9B">
            <w:r w:rsidRPr="00666B9B">
              <w:t>Recall data or information</w:t>
            </w:r>
            <w:r w:rsidR="003E4874">
              <w:t>.</w:t>
            </w:r>
          </w:p>
        </w:tc>
        <w:tc>
          <w:tcPr>
            <w:tcW w:w="4410" w:type="dxa"/>
            <w:shd w:val="clear" w:color="auto" w:fill="FBD4B4" w:themeFill="accent6" w:themeFillTint="66"/>
          </w:tcPr>
          <w:p w:rsidR="00666B9B" w:rsidRDefault="00666B9B" w:rsidP="00666B9B">
            <w:r>
              <w:t>D</w:t>
            </w:r>
            <w:r w:rsidRPr="00666B9B">
              <w:t>efine, describe, identify, label, list, match, name, outline, recall, recognize, reproduce, select, state</w:t>
            </w:r>
          </w:p>
        </w:tc>
      </w:tr>
      <w:tr w:rsidR="00666B9B" w:rsidTr="003E4874">
        <w:tc>
          <w:tcPr>
            <w:tcW w:w="1638" w:type="dxa"/>
            <w:shd w:val="clear" w:color="auto" w:fill="FBD4B4" w:themeFill="accent6" w:themeFillTint="66"/>
          </w:tcPr>
          <w:p w:rsidR="00666B9B" w:rsidRPr="00666B9B" w:rsidRDefault="00666B9B" w:rsidP="00FA39B3">
            <w:pPr>
              <w:rPr>
                <w:b/>
              </w:rPr>
            </w:pPr>
            <w:r w:rsidRPr="00666B9B">
              <w:rPr>
                <w:b/>
              </w:rPr>
              <w:t>Understand</w:t>
            </w:r>
          </w:p>
        </w:tc>
        <w:tc>
          <w:tcPr>
            <w:tcW w:w="3510" w:type="dxa"/>
            <w:shd w:val="clear" w:color="auto" w:fill="FBD4B4" w:themeFill="accent6" w:themeFillTint="66"/>
          </w:tcPr>
          <w:p w:rsidR="00666B9B" w:rsidRDefault="00666B9B">
            <w:r w:rsidRPr="00666B9B">
              <w:t>Construct meaning from instructional messages</w:t>
            </w:r>
            <w:r w:rsidR="003E4874">
              <w:t>.</w:t>
            </w:r>
          </w:p>
        </w:tc>
        <w:tc>
          <w:tcPr>
            <w:tcW w:w="4410" w:type="dxa"/>
            <w:shd w:val="clear" w:color="auto" w:fill="FBD4B4" w:themeFill="accent6" w:themeFillTint="66"/>
          </w:tcPr>
          <w:p w:rsidR="00666B9B" w:rsidRDefault="00666B9B">
            <w:r w:rsidRPr="00666B9B">
              <w:t>Interpret, exemplify, classify, summarize, infer, comparing, explain</w:t>
            </w:r>
          </w:p>
        </w:tc>
      </w:tr>
      <w:tr w:rsidR="00666B9B" w:rsidTr="003E4874">
        <w:tc>
          <w:tcPr>
            <w:tcW w:w="1638" w:type="dxa"/>
            <w:shd w:val="clear" w:color="auto" w:fill="FBD4B4" w:themeFill="accent6" w:themeFillTint="66"/>
          </w:tcPr>
          <w:p w:rsidR="00666B9B" w:rsidRPr="00666B9B" w:rsidRDefault="00666B9B" w:rsidP="00FA39B3">
            <w:pPr>
              <w:rPr>
                <w:b/>
              </w:rPr>
            </w:pPr>
            <w:r w:rsidRPr="00666B9B">
              <w:rPr>
                <w:b/>
              </w:rPr>
              <w:t>Apply</w:t>
            </w:r>
          </w:p>
        </w:tc>
        <w:tc>
          <w:tcPr>
            <w:tcW w:w="3510" w:type="dxa"/>
            <w:shd w:val="clear" w:color="auto" w:fill="FBD4B4" w:themeFill="accent6" w:themeFillTint="66"/>
          </w:tcPr>
          <w:p w:rsidR="00666B9B" w:rsidRDefault="00666B9B">
            <w:r w:rsidRPr="00666B9B">
              <w:t>Carry out or use a procedure in a given situation</w:t>
            </w:r>
            <w:r w:rsidR="003E4874">
              <w:t>.</w:t>
            </w:r>
          </w:p>
        </w:tc>
        <w:tc>
          <w:tcPr>
            <w:tcW w:w="4410" w:type="dxa"/>
            <w:shd w:val="clear" w:color="auto" w:fill="FBD4B4" w:themeFill="accent6" w:themeFillTint="66"/>
          </w:tcPr>
          <w:p w:rsidR="00666B9B" w:rsidRDefault="00666B9B">
            <w:r w:rsidRPr="00666B9B">
              <w:t>Execute, implement, demonstrate, show</w:t>
            </w:r>
          </w:p>
        </w:tc>
      </w:tr>
      <w:tr w:rsidR="00666B9B" w:rsidTr="003E4874">
        <w:tc>
          <w:tcPr>
            <w:tcW w:w="1638" w:type="dxa"/>
            <w:shd w:val="clear" w:color="auto" w:fill="FBD4B4" w:themeFill="accent6" w:themeFillTint="66"/>
          </w:tcPr>
          <w:p w:rsidR="00666B9B" w:rsidRPr="00666B9B" w:rsidRDefault="00666B9B" w:rsidP="00FA39B3">
            <w:pPr>
              <w:rPr>
                <w:b/>
              </w:rPr>
            </w:pPr>
            <w:r w:rsidRPr="00666B9B">
              <w:rPr>
                <w:b/>
              </w:rPr>
              <w:t>Analyze</w:t>
            </w:r>
          </w:p>
        </w:tc>
        <w:tc>
          <w:tcPr>
            <w:tcW w:w="3510" w:type="dxa"/>
            <w:shd w:val="clear" w:color="auto" w:fill="FBD4B4" w:themeFill="accent6" w:themeFillTint="66"/>
          </w:tcPr>
          <w:p w:rsidR="00666B9B" w:rsidRDefault="00666B9B">
            <w:r w:rsidRPr="00666B9B">
              <w:t>Break material into constituent parts and determine how parts relate to one another and to an overall structure of purpose</w:t>
            </w:r>
            <w:r w:rsidR="003E4874">
              <w:t>.</w:t>
            </w:r>
          </w:p>
        </w:tc>
        <w:tc>
          <w:tcPr>
            <w:tcW w:w="4410" w:type="dxa"/>
            <w:shd w:val="clear" w:color="auto" w:fill="FBD4B4" w:themeFill="accent6" w:themeFillTint="66"/>
          </w:tcPr>
          <w:p w:rsidR="00666B9B" w:rsidRDefault="00666B9B">
            <w:r w:rsidRPr="00666B9B">
              <w:t>Differentiate, organize, attribute</w:t>
            </w:r>
          </w:p>
        </w:tc>
      </w:tr>
      <w:tr w:rsidR="00666B9B" w:rsidTr="003E4874">
        <w:tc>
          <w:tcPr>
            <w:tcW w:w="1638" w:type="dxa"/>
            <w:shd w:val="clear" w:color="auto" w:fill="FBD4B4" w:themeFill="accent6" w:themeFillTint="66"/>
          </w:tcPr>
          <w:p w:rsidR="00666B9B" w:rsidRPr="00666B9B" w:rsidRDefault="00666B9B" w:rsidP="00FA39B3">
            <w:pPr>
              <w:rPr>
                <w:b/>
              </w:rPr>
            </w:pPr>
            <w:r w:rsidRPr="00666B9B">
              <w:rPr>
                <w:b/>
              </w:rPr>
              <w:t>Evaluate</w:t>
            </w:r>
          </w:p>
        </w:tc>
        <w:tc>
          <w:tcPr>
            <w:tcW w:w="3510" w:type="dxa"/>
            <w:shd w:val="clear" w:color="auto" w:fill="FBD4B4" w:themeFill="accent6" w:themeFillTint="66"/>
          </w:tcPr>
          <w:p w:rsidR="00666B9B" w:rsidRDefault="00666B9B">
            <w:r w:rsidRPr="00666B9B">
              <w:t>Make judgments based on criteria and standards</w:t>
            </w:r>
            <w:r w:rsidR="003E4874">
              <w:t>.</w:t>
            </w:r>
          </w:p>
        </w:tc>
        <w:tc>
          <w:tcPr>
            <w:tcW w:w="4410" w:type="dxa"/>
            <w:shd w:val="clear" w:color="auto" w:fill="FBD4B4" w:themeFill="accent6" w:themeFillTint="66"/>
          </w:tcPr>
          <w:p w:rsidR="00666B9B" w:rsidRDefault="00666B9B">
            <w:r w:rsidRPr="00666B9B">
              <w:t>Check, critique, appraise</w:t>
            </w:r>
          </w:p>
        </w:tc>
      </w:tr>
      <w:tr w:rsidR="00666B9B" w:rsidTr="003E4874">
        <w:tc>
          <w:tcPr>
            <w:tcW w:w="1638" w:type="dxa"/>
            <w:shd w:val="clear" w:color="auto" w:fill="FBD4B4" w:themeFill="accent6" w:themeFillTint="66"/>
          </w:tcPr>
          <w:p w:rsidR="00666B9B" w:rsidRPr="00666B9B" w:rsidRDefault="00666B9B" w:rsidP="00FA39B3">
            <w:pPr>
              <w:rPr>
                <w:b/>
              </w:rPr>
            </w:pPr>
            <w:r w:rsidRPr="00666B9B">
              <w:rPr>
                <w:b/>
              </w:rPr>
              <w:t>Create</w:t>
            </w:r>
          </w:p>
        </w:tc>
        <w:tc>
          <w:tcPr>
            <w:tcW w:w="3510" w:type="dxa"/>
            <w:shd w:val="clear" w:color="auto" w:fill="FBD4B4" w:themeFill="accent6" w:themeFillTint="66"/>
          </w:tcPr>
          <w:p w:rsidR="00666B9B" w:rsidRDefault="00666B9B">
            <w:r w:rsidRPr="00666B9B">
              <w:t>Put elements together to form a coherent or functional whole; reorganizing elements into a new pattern or structure</w:t>
            </w:r>
            <w:r w:rsidR="003E4874">
              <w:t>.</w:t>
            </w:r>
          </w:p>
        </w:tc>
        <w:tc>
          <w:tcPr>
            <w:tcW w:w="4410" w:type="dxa"/>
            <w:shd w:val="clear" w:color="auto" w:fill="FBD4B4" w:themeFill="accent6" w:themeFillTint="66"/>
          </w:tcPr>
          <w:p w:rsidR="00666B9B" w:rsidRDefault="00666B9B">
            <w:r w:rsidRPr="00666B9B">
              <w:t>generate, plan, produce</w:t>
            </w:r>
          </w:p>
        </w:tc>
      </w:tr>
    </w:tbl>
    <w:p w:rsidR="00666B9B" w:rsidRPr="00666B9B" w:rsidRDefault="00666B9B" w:rsidP="00666B9B">
      <w:proofErr w:type="gramStart"/>
      <w:r w:rsidRPr="00666B9B">
        <w:t xml:space="preserve">Anderson, L. W., &amp; </w:t>
      </w:r>
      <w:proofErr w:type="spellStart"/>
      <w:r w:rsidRPr="00666B9B">
        <w:t>Krathwohl</w:t>
      </w:r>
      <w:proofErr w:type="spellEnd"/>
      <w:r w:rsidRPr="00666B9B">
        <w:t>, D. R. (Eds.).</w:t>
      </w:r>
      <w:proofErr w:type="gramEnd"/>
      <w:r w:rsidRPr="00666B9B">
        <w:t xml:space="preserve"> (2001). </w:t>
      </w:r>
      <w:proofErr w:type="gramStart"/>
      <w:r w:rsidRPr="00666B9B">
        <w:rPr>
          <w:i/>
          <w:iCs/>
        </w:rPr>
        <w:t>A</w:t>
      </w:r>
      <w:proofErr w:type="gramEnd"/>
      <w:r w:rsidRPr="00666B9B">
        <w:rPr>
          <w:i/>
          <w:iCs/>
        </w:rPr>
        <w:t xml:space="preserve"> taxonomy for learning, teaching and assessing: A revision of Bloom's Taxonomy of educational objectives</w:t>
      </w:r>
      <w:r w:rsidRPr="00666B9B">
        <w:t xml:space="preserve">. New </w:t>
      </w:r>
      <w:proofErr w:type="gramStart"/>
      <w:r w:rsidRPr="00666B9B">
        <w:t>York :</w:t>
      </w:r>
      <w:proofErr w:type="gramEnd"/>
      <w:r w:rsidRPr="00666B9B">
        <w:t xml:space="preserve"> Longman</w:t>
      </w:r>
      <w:r>
        <w:t>.</w:t>
      </w:r>
      <w:r w:rsidRPr="00666B9B">
        <w:t xml:space="preserve"> </w:t>
      </w:r>
    </w:p>
    <w:p w:rsidR="00666B9B" w:rsidRDefault="00666B9B"/>
    <w:p w:rsidR="00666B9B" w:rsidRPr="00666B9B" w:rsidRDefault="00666B9B" w:rsidP="00666B9B">
      <w:r>
        <w:t xml:space="preserve">Definitions and key words from </w:t>
      </w:r>
      <w:hyperlink r:id="rId6" w:history="1">
        <w:r w:rsidRPr="00666B9B">
          <w:rPr>
            <w:rStyle w:val="Hyperlink"/>
          </w:rPr>
          <w:t>http://oregonstate.edu/instruct/coursedev/models/id/taxonomy/#table</w:t>
        </w:r>
      </w:hyperlink>
      <w:r w:rsidRPr="00666B9B">
        <w:t xml:space="preserve"> </w:t>
      </w:r>
    </w:p>
    <w:p w:rsidR="00666B9B" w:rsidRDefault="00666B9B"/>
    <w:p w:rsidR="00E27846" w:rsidRDefault="00E27846"/>
    <w:p w:rsidR="00E27846" w:rsidRDefault="00E27846"/>
    <w:p w:rsidR="003E4874" w:rsidRPr="00E27846" w:rsidRDefault="003E4874" w:rsidP="003E4874">
      <w:pPr>
        <w:rPr>
          <w:b/>
          <w:color w:val="4F6228" w:themeColor="accent3" w:themeShade="80"/>
        </w:rPr>
      </w:pPr>
      <w:r w:rsidRPr="00E27846">
        <w:rPr>
          <w:b/>
          <w:color w:val="4F6228" w:themeColor="accent3" w:themeShade="80"/>
        </w:rPr>
        <w:t>Psychomotor Taxonomy</w:t>
      </w:r>
    </w:p>
    <w:tbl>
      <w:tblPr>
        <w:tblStyle w:val="TableGrid"/>
        <w:tblW w:w="0" w:type="auto"/>
        <w:shd w:val="clear" w:color="auto" w:fill="D6E3BC" w:themeFill="accent3" w:themeFillTint="66"/>
        <w:tblLook w:val="04A0"/>
      </w:tblPr>
      <w:tblGrid>
        <w:gridCol w:w="1710"/>
        <w:gridCol w:w="3478"/>
        <w:gridCol w:w="4370"/>
      </w:tblGrid>
      <w:tr w:rsidR="003E4874" w:rsidRPr="00666B9B" w:rsidTr="003E4874">
        <w:tc>
          <w:tcPr>
            <w:tcW w:w="1710" w:type="dxa"/>
            <w:shd w:val="clear" w:color="auto" w:fill="D6E3BC" w:themeFill="accent3" w:themeFillTint="66"/>
          </w:tcPr>
          <w:p w:rsidR="003E4874" w:rsidRPr="00666B9B" w:rsidRDefault="003E4874" w:rsidP="00DE769A">
            <w:pPr>
              <w:rPr>
                <w:b/>
              </w:rPr>
            </w:pPr>
            <w:r w:rsidRPr="00666B9B">
              <w:rPr>
                <w:b/>
              </w:rPr>
              <w:t>Levels</w:t>
            </w:r>
          </w:p>
        </w:tc>
        <w:tc>
          <w:tcPr>
            <w:tcW w:w="3478" w:type="dxa"/>
            <w:shd w:val="clear" w:color="auto" w:fill="D6E3BC" w:themeFill="accent3" w:themeFillTint="66"/>
          </w:tcPr>
          <w:p w:rsidR="003E4874" w:rsidRPr="00666B9B" w:rsidRDefault="003E4874" w:rsidP="00DE769A">
            <w:pPr>
              <w:rPr>
                <w:b/>
              </w:rPr>
            </w:pPr>
            <w:r w:rsidRPr="00666B9B">
              <w:rPr>
                <w:b/>
              </w:rPr>
              <w:t>Definition</w:t>
            </w:r>
          </w:p>
        </w:tc>
        <w:tc>
          <w:tcPr>
            <w:tcW w:w="4370" w:type="dxa"/>
            <w:shd w:val="clear" w:color="auto" w:fill="D6E3BC" w:themeFill="accent3" w:themeFillTint="66"/>
          </w:tcPr>
          <w:p w:rsidR="003E4874" w:rsidRPr="00666B9B" w:rsidRDefault="003E4874" w:rsidP="00DE769A">
            <w:pPr>
              <w:rPr>
                <w:b/>
              </w:rPr>
            </w:pPr>
            <w:r w:rsidRPr="00666B9B">
              <w:rPr>
                <w:b/>
              </w:rPr>
              <w:t>Key Words</w:t>
            </w:r>
          </w:p>
        </w:tc>
      </w:tr>
      <w:tr w:rsidR="003E4874" w:rsidTr="003E4874">
        <w:tc>
          <w:tcPr>
            <w:tcW w:w="1710" w:type="dxa"/>
            <w:shd w:val="clear" w:color="auto" w:fill="D6E3BC" w:themeFill="accent3" w:themeFillTint="66"/>
          </w:tcPr>
          <w:p w:rsidR="003E4874" w:rsidRPr="00666B9B" w:rsidRDefault="003E4874" w:rsidP="00DE769A">
            <w:pPr>
              <w:rPr>
                <w:b/>
              </w:rPr>
            </w:pPr>
            <w:r>
              <w:rPr>
                <w:b/>
              </w:rPr>
              <w:t>Imitation</w:t>
            </w:r>
          </w:p>
        </w:tc>
        <w:tc>
          <w:tcPr>
            <w:tcW w:w="3478" w:type="dxa"/>
            <w:shd w:val="clear" w:color="auto" w:fill="D6E3BC" w:themeFill="accent3" w:themeFillTint="66"/>
          </w:tcPr>
          <w:p w:rsidR="003E4874" w:rsidRDefault="003E4874" w:rsidP="00DE769A">
            <w:r w:rsidRPr="003E4874">
              <w:t>Copy action of another; observe and replicate.</w:t>
            </w:r>
          </w:p>
        </w:tc>
        <w:tc>
          <w:tcPr>
            <w:tcW w:w="4370" w:type="dxa"/>
            <w:shd w:val="clear" w:color="auto" w:fill="D6E3BC" w:themeFill="accent3" w:themeFillTint="66"/>
          </w:tcPr>
          <w:p w:rsidR="003E4874" w:rsidRDefault="003E4874" w:rsidP="00DE769A">
            <w:r w:rsidRPr="003E4874">
              <w:t>Copy, follow, replicate, repeat, adhere</w:t>
            </w:r>
          </w:p>
        </w:tc>
      </w:tr>
      <w:tr w:rsidR="003E4874" w:rsidTr="003E4874">
        <w:tc>
          <w:tcPr>
            <w:tcW w:w="1710" w:type="dxa"/>
            <w:shd w:val="clear" w:color="auto" w:fill="D6E3BC" w:themeFill="accent3" w:themeFillTint="66"/>
          </w:tcPr>
          <w:p w:rsidR="003E4874" w:rsidRPr="00666B9B" w:rsidRDefault="003E4874" w:rsidP="00DE769A">
            <w:pPr>
              <w:rPr>
                <w:b/>
              </w:rPr>
            </w:pPr>
            <w:r>
              <w:rPr>
                <w:b/>
              </w:rPr>
              <w:t>Manipulation</w:t>
            </w:r>
          </w:p>
        </w:tc>
        <w:tc>
          <w:tcPr>
            <w:tcW w:w="3478" w:type="dxa"/>
            <w:shd w:val="clear" w:color="auto" w:fill="D6E3BC" w:themeFill="accent3" w:themeFillTint="66"/>
          </w:tcPr>
          <w:p w:rsidR="003E4874" w:rsidRDefault="003E4874" w:rsidP="00DE769A">
            <w:r w:rsidRPr="003E4874">
              <w:t>Reproduce activity from instruction or memory.</w:t>
            </w:r>
          </w:p>
        </w:tc>
        <w:tc>
          <w:tcPr>
            <w:tcW w:w="4370" w:type="dxa"/>
            <w:shd w:val="clear" w:color="auto" w:fill="D6E3BC" w:themeFill="accent3" w:themeFillTint="66"/>
          </w:tcPr>
          <w:p w:rsidR="003E4874" w:rsidRDefault="003E4874" w:rsidP="00DE769A">
            <w:r w:rsidRPr="003E4874">
              <w:t>Recreate, build, perform, execute, implement</w:t>
            </w:r>
          </w:p>
        </w:tc>
      </w:tr>
      <w:tr w:rsidR="003E4874" w:rsidTr="003E4874">
        <w:tc>
          <w:tcPr>
            <w:tcW w:w="1710" w:type="dxa"/>
            <w:shd w:val="clear" w:color="auto" w:fill="D6E3BC" w:themeFill="accent3" w:themeFillTint="66"/>
          </w:tcPr>
          <w:p w:rsidR="003E4874" w:rsidRPr="00666B9B" w:rsidRDefault="003E4874" w:rsidP="00DE769A">
            <w:pPr>
              <w:rPr>
                <w:b/>
              </w:rPr>
            </w:pPr>
            <w:r>
              <w:rPr>
                <w:b/>
              </w:rPr>
              <w:t>Precision</w:t>
            </w:r>
          </w:p>
        </w:tc>
        <w:tc>
          <w:tcPr>
            <w:tcW w:w="3478" w:type="dxa"/>
            <w:shd w:val="clear" w:color="auto" w:fill="D6E3BC" w:themeFill="accent3" w:themeFillTint="66"/>
          </w:tcPr>
          <w:p w:rsidR="003E4874" w:rsidRDefault="003E4874" w:rsidP="00DE769A">
            <w:r w:rsidRPr="003E4874">
              <w:t>Execute skill reliably, independent of help.</w:t>
            </w:r>
          </w:p>
        </w:tc>
        <w:tc>
          <w:tcPr>
            <w:tcW w:w="4370" w:type="dxa"/>
            <w:shd w:val="clear" w:color="auto" w:fill="D6E3BC" w:themeFill="accent3" w:themeFillTint="66"/>
          </w:tcPr>
          <w:p w:rsidR="003E4874" w:rsidRDefault="003E4874" w:rsidP="00DE769A">
            <w:pPr>
              <w:tabs>
                <w:tab w:val="left" w:pos="1185"/>
              </w:tabs>
            </w:pPr>
            <w:r w:rsidRPr="003E4874">
              <w:t>Demonstrate, complete, show, perfect, calibrate, control</w:t>
            </w:r>
          </w:p>
        </w:tc>
      </w:tr>
      <w:tr w:rsidR="003E4874" w:rsidTr="003E4874">
        <w:tc>
          <w:tcPr>
            <w:tcW w:w="1710" w:type="dxa"/>
            <w:shd w:val="clear" w:color="auto" w:fill="D6E3BC" w:themeFill="accent3" w:themeFillTint="66"/>
          </w:tcPr>
          <w:p w:rsidR="003E4874" w:rsidRPr="00666B9B" w:rsidRDefault="003E4874" w:rsidP="00DE769A">
            <w:pPr>
              <w:rPr>
                <w:b/>
              </w:rPr>
            </w:pPr>
            <w:r>
              <w:rPr>
                <w:b/>
              </w:rPr>
              <w:t>Articulation</w:t>
            </w:r>
          </w:p>
        </w:tc>
        <w:tc>
          <w:tcPr>
            <w:tcW w:w="3478" w:type="dxa"/>
            <w:shd w:val="clear" w:color="auto" w:fill="D6E3BC" w:themeFill="accent3" w:themeFillTint="66"/>
          </w:tcPr>
          <w:p w:rsidR="003E4874" w:rsidRDefault="003E4874" w:rsidP="00DE769A">
            <w:r w:rsidRPr="003E4874">
              <w:t>Adapt and integrate expertise to satisfy a non-standard objective.</w:t>
            </w:r>
          </w:p>
        </w:tc>
        <w:tc>
          <w:tcPr>
            <w:tcW w:w="4370" w:type="dxa"/>
            <w:shd w:val="clear" w:color="auto" w:fill="D6E3BC" w:themeFill="accent3" w:themeFillTint="66"/>
          </w:tcPr>
          <w:p w:rsidR="003E4874" w:rsidRDefault="003E4874" w:rsidP="00DE769A">
            <w:r w:rsidRPr="003E4874">
              <w:t>Construct, solve, combine, coordinate, integrate, adapt, develop, formulate, modify, master</w:t>
            </w:r>
          </w:p>
        </w:tc>
      </w:tr>
      <w:tr w:rsidR="003E4874" w:rsidTr="003E4874">
        <w:tc>
          <w:tcPr>
            <w:tcW w:w="1710" w:type="dxa"/>
            <w:shd w:val="clear" w:color="auto" w:fill="D6E3BC" w:themeFill="accent3" w:themeFillTint="66"/>
          </w:tcPr>
          <w:p w:rsidR="003E4874" w:rsidRPr="00666B9B" w:rsidRDefault="003E4874" w:rsidP="00DE769A">
            <w:pPr>
              <w:rPr>
                <w:b/>
              </w:rPr>
            </w:pPr>
            <w:r>
              <w:rPr>
                <w:b/>
              </w:rPr>
              <w:t>Naturalization</w:t>
            </w:r>
          </w:p>
        </w:tc>
        <w:tc>
          <w:tcPr>
            <w:tcW w:w="3478" w:type="dxa"/>
            <w:shd w:val="clear" w:color="auto" w:fill="D6E3BC" w:themeFill="accent3" w:themeFillTint="66"/>
          </w:tcPr>
          <w:p w:rsidR="003E4874" w:rsidRDefault="003E4874" w:rsidP="00DE769A">
            <w:r w:rsidRPr="003E4874">
              <w:t>Automated, unconscious mastery of activity and related skills at strategic level.</w:t>
            </w:r>
          </w:p>
        </w:tc>
        <w:tc>
          <w:tcPr>
            <w:tcW w:w="4370" w:type="dxa"/>
            <w:shd w:val="clear" w:color="auto" w:fill="D6E3BC" w:themeFill="accent3" w:themeFillTint="66"/>
          </w:tcPr>
          <w:p w:rsidR="003E4874" w:rsidRDefault="003E4874" w:rsidP="00DE769A">
            <w:pPr>
              <w:tabs>
                <w:tab w:val="left" w:pos="960"/>
              </w:tabs>
            </w:pPr>
            <w:r w:rsidRPr="003E4874">
              <w:t>Design, specify, manage, invent, project-manage</w:t>
            </w:r>
            <w:r>
              <w:tab/>
            </w:r>
          </w:p>
        </w:tc>
      </w:tr>
    </w:tbl>
    <w:p w:rsidR="003E4874" w:rsidRPr="003E4874" w:rsidRDefault="003E4874" w:rsidP="003E4874">
      <w:r w:rsidRPr="003E4874">
        <w:t>Dave, R. H. (1975). </w:t>
      </w:r>
      <w:proofErr w:type="gramStart"/>
      <w:r w:rsidRPr="003E4874">
        <w:rPr>
          <w:i/>
          <w:iCs/>
        </w:rPr>
        <w:t xml:space="preserve">Developing and Writing </w:t>
      </w:r>
      <w:proofErr w:type="spellStart"/>
      <w:r w:rsidRPr="003E4874">
        <w:rPr>
          <w:i/>
          <w:iCs/>
        </w:rPr>
        <w:t>Behavioural</w:t>
      </w:r>
      <w:proofErr w:type="spellEnd"/>
      <w:r w:rsidRPr="003E4874">
        <w:rPr>
          <w:i/>
          <w:iCs/>
        </w:rPr>
        <w:t xml:space="preserve"> Objectives.</w:t>
      </w:r>
      <w:proofErr w:type="gramEnd"/>
      <w:r w:rsidRPr="003E4874">
        <w:t xml:space="preserve"> (R J Armstrong, </w:t>
      </w:r>
      <w:proofErr w:type="gramStart"/>
      <w:r w:rsidRPr="003E4874">
        <w:t>ed</w:t>
      </w:r>
      <w:proofErr w:type="gramEnd"/>
      <w:r w:rsidRPr="003E4874">
        <w:t xml:space="preserve">.) </w:t>
      </w:r>
      <w:proofErr w:type="gramStart"/>
      <w:r w:rsidRPr="003E4874">
        <w:t>Educational Innovators Press.</w:t>
      </w:r>
      <w:proofErr w:type="gramEnd"/>
      <w:r w:rsidRPr="003E4874">
        <w:t xml:space="preserve"> </w:t>
      </w:r>
    </w:p>
    <w:p w:rsidR="003E4874" w:rsidRDefault="003E4874" w:rsidP="003E4874"/>
    <w:p w:rsidR="003E4874" w:rsidRPr="003E4874" w:rsidRDefault="003E4874" w:rsidP="003E4874">
      <w:r>
        <w:lastRenderedPageBreak/>
        <w:t xml:space="preserve">Definitions and key words from </w:t>
      </w:r>
      <w:hyperlink r:id="rId7" w:history="1">
        <w:r w:rsidRPr="003E4874">
          <w:rPr>
            <w:rStyle w:val="Hyperlink"/>
          </w:rPr>
          <w:t>http://www.businessballs.com/bloomstaxonomyoflearningdomains.htm#bloom's%20affective%20domain</w:t>
        </w:r>
      </w:hyperlink>
      <w:r w:rsidRPr="003E4874">
        <w:t xml:space="preserve"> </w:t>
      </w:r>
    </w:p>
    <w:p w:rsidR="0076382D" w:rsidRPr="00E27846" w:rsidRDefault="0076382D" w:rsidP="0076382D">
      <w:pPr>
        <w:rPr>
          <w:b/>
          <w:color w:val="244061" w:themeColor="accent1" w:themeShade="80"/>
        </w:rPr>
      </w:pPr>
      <w:r w:rsidRPr="00E27846">
        <w:rPr>
          <w:b/>
          <w:color w:val="244061" w:themeColor="accent1" w:themeShade="80"/>
        </w:rPr>
        <w:t>Affective Taxonomy</w:t>
      </w:r>
    </w:p>
    <w:tbl>
      <w:tblPr>
        <w:tblStyle w:val="TableGrid"/>
        <w:tblW w:w="0" w:type="auto"/>
        <w:shd w:val="clear" w:color="auto" w:fill="B8CCE4" w:themeFill="accent1" w:themeFillTint="66"/>
        <w:tblLook w:val="04A0"/>
      </w:tblPr>
      <w:tblGrid>
        <w:gridCol w:w="1638"/>
        <w:gridCol w:w="3510"/>
        <w:gridCol w:w="4410"/>
      </w:tblGrid>
      <w:tr w:rsidR="0076382D" w:rsidRPr="00666B9B" w:rsidTr="003E4874">
        <w:tc>
          <w:tcPr>
            <w:tcW w:w="1638" w:type="dxa"/>
            <w:shd w:val="clear" w:color="auto" w:fill="B8CCE4" w:themeFill="accent1" w:themeFillTint="66"/>
          </w:tcPr>
          <w:p w:rsidR="0076382D" w:rsidRPr="00666B9B" w:rsidRDefault="0076382D" w:rsidP="00DE769A">
            <w:pPr>
              <w:rPr>
                <w:b/>
              </w:rPr>
            </w:pPr>
            <w:r w:rsidRPr="00666B9B">
              <w:rPr>
                <w:b/>
              </w:rPr>
              <w:t>Levels</w:t>
            </w:r>
          </w:p>
        </w:tc>
        <w:tc>
          <w:tcPr>
            <w:tcW w:w="3510" w:type="dxa"/>
            <w:shd w:val="clear" w:color="auto" w:fill="B8CCE4" w:themeFill="accent1" w:themeFillTint="66"/>
          </w:tcPr>
          <w:p w:rsidR="0076382D" w:rsidRPr="00666B9B" w:rsidRDefault="0076382D" w:rsidP="00DE769A">
            <w:pPr>
              <w:rPr>
                <w:b/>
              </w:rPr>
            </w:pPr>
            <w:r w:rsidRPr="00666B9B">
              <w:rPr>
                <w:b/>
              </w:rPr>
              <w:t>Definition</w:t>
            </w:r>
          </w:p>
        </w:tc>
        <w:tc>
          <w:tcPr>
            <w:tcW w:w="4410" w:type="dxa"/>
            <w:shd w:val="clear" w:color="auto" w:fill="B8CCE4" w:themeFill="accent1" w:themeFillTint="66"/>
          </w:tcPr>
          <w:p w:rsidR="0076382D" w:rsidRPr="00666B9B" w:rsidRDefault="0076382D" w:rsidP="00DE769A">
            <w:pPr>
              <w:rPr>
                <w:b/>
              </w:rPr>
            </w:pPr>
            <w:r w:rsidRPr="00666B9B">
              <w:rPr>
                <w:b/>
              </w:rPr>
              <w:t>Key Words</w:t>
            </w:r>
          </w:p>
        </w:tc>
      </w:tr>
      <w:tr w:rsidR="0076382D" w:rsidTr="003E4874">
        <w:tc>
          <w:tcPr>
            <w:tcW w:w="1638" w:type="dxa"/>
            <w:shd w:val="clear" w:color="auto" w:fill="B8CCE4" w:themeFill="accent1" w:themeFillTint="66"/>
          </w:tcPr>
          <w:p w:rsidR="0076382D" w:rsidRPr="00666B9B" w:rsidRDefault="0076382D" w:rsidP="00DE769A">
            <w:pPr>
              <w:rPr>
                <w:b/>
              </w:rPr>
            </w:pPr>
            <w:r>
              <w:rPr>
                <w:b/>
              </w:rPr>
              <w:t>Receives phenomena</w:t>
            </w:r>
          </w:p>
        </w:tc>
        <w:tc>
          <w:tcPr>
            <w:tcW w:w="3510" w:type="dxa"/>
            <w:shd w:val="clear" w:color="auto" w:fill="B8CCE4" w:themeFill="accent1" w:themeFillTint="66"/>
          </w:tcPr>
          <w:p w:rsidR="0076382D" w:rsidRDefault="003E4874" w:rsidP="00DE769A">
            <w:r w:rsidRPr="003E4874">
              <w:t>Awareness, willingness to hear, selected attention</w:t>
            </w:r>
            <w:r>
              <w:t>.</w:t>
            </w:r>
          </w:p>
        </w:tc>
        <w:tc>
          <w:tcPr>
            <w:tcW w:w="4410" w:type="dxa"/>
            <w:shd w:val="clear" w:color="auto" w:fill="B8CCE4" w:themeFill="accent1" w:themeFillTint="66"/>
          </w:tcPr>
          <w:p w:rsidR="0076382D" w:rsidRDefault="003E4874" w:rsidP="00DE769A">
            <w:r w:rsidRPr="003E4874">
              <w:t>Asks, chooses, describes, follows, gives, holds, identifies, locates, names, points to, selects, sits, erects, replies, uses</w:t>
            </w:r>
          </w:p>
        </w:tc>
      </w:tr>
      <w:tr w:rsidR="0076382D" w:rsidTr="003E4874">
        <w:tc>
          <w:tcPr>
            <w:tcW w:w="1638" w:type="dxa"/>
            <w:shd w:val="clear" w:color="auto" w:fill="B8CCE4" w:themeFill="accent1" w:themeFillTint="66"/>
          </w:tcPr>
          <w:p w:rsidR="0076382D" w:rsidRPr="00666B9B" w:rsidRDefault="0076382D" w:rsidP="00DE769A">
            <w:pPr>
              <w:rPr>
                <w:b/>
              </w:rPr>
            </w:pPr>
            <w:r>
              <w:rPr>
                <w:b/>
              </w:rPr>
              <w:t>Responds to phenomena</w:t>
            </w:r>
          </w:p>
        </w:tc>
        <w:tc>
          <w:tcPr>
            <w:tcW w:w="3510" w:type="dxa"/>
            <w:shd w:val="clear" w:color="auto" w:fill="B8CCE4" w:themeFill="accent1" w:themeFillTint="66"/>
          </w:tcPr>
          <w:p w:rsidR="0076382D" w:rsidRDefault="003E4874" w:rsidP="00DE769A">
            <w:r w:rsidRPr="003E4874">
              <w:t>Active participation on the part of the learners. Attends and reacts to a particular phenomenon. Learning outcomes may emphasize compliance in responding, willingness to respond, or satisfaction in responding</w:t>
            </w:r>
            <w:r>
              <w:t>.</w:t>
            </w:r>
          </w:p>
        </w:tc>
        <w:tc>
          <w:tcPr>
            <w:tcW w:w="4410" w:type="dxa"/>
            <w:shd w:val="clear" w:color="auto" w:fill="B8CCE4" w:themeFill="accent1" w:themeFillTint="66"/>
          </w:tcPr>
          <w:p w:rsidR="0076382D" w:rsidRDefault="003E4874" w:rsidP="00DE769A">
            <w:r w:rsidRPr="003E4874">
              <w:t>Answers, assists, aids, complies, conforms, discusses, greets, helps, labels, performs, practices, presents, reads, recites, reports, selects, tells, writes</w:t>
            </w:r>
          </w:p>
        </w:tc>
      </w:tr>
      <w:tr w:rsidR="0076382D" w:rsidTr="003E4874">
        <w:tc>
          <w:tcPr>
            <w:tcW w:w="1638" w:type="dxa"/>
            <w:shd w:val="clear" w:color="auto" w:fill="B8CCE4" w:themeFill="accent1" w:themeFillTint="66"/>
          </w:tcPr>
          <w:p w:rsidR="0076382D" w:rsidRPr="00666B9B" w:rsidRDefault="0076382D" w:rsidP="00DE769A">
            <w:pPr>
              <w:rPr>
                <w:b/>
              </w:rPr>
            </w:pPr>
            <w:r>
              <w:rPr>
                <w:b/>
              </w:rPr>
              <w:t>Values</w:t>
            </w:r>
          </w:p>
        </w:tc>
        <w:tc>
          <w:tcPr>
            <w:tcW w:w="3510" w:type="dxa"/>
            <w:shd w:val="clear" w:color="auto" w:fill="B8CCE4" w:themeFill="accent1" w:themeFillTint="66"/>
          </w:tcPr>
          <w:p w:rsidR="0076382D" w:rsidRDefault="003E4874" w:rsidP="00DE769A">
            <w:r w:rsidRPr="003E4874">
              <w:t>The worth or value a person attaches to a particular object, phenomenon, or behavior. This ranges from simple acceptance to the more complex state of commitment. Valuing is based on the internalization of a set of specified values while clues to these values are expressed in the learner’s overt behavior and are often identifiable.</w:t>
            </w:r>
          </w:p>
        </w:tc>
        <w:tc>
          <w:tcPr>
            <w:tcW w:w="4410" w:type="dxa"/>
            <w:shd w:val="clear" w:color="auto" w:fill="B8CCE4" w:themeFill="accent1" w:themeFillTint="66"/>
          </w:tcPr>
          <w:p w:rsidR="0076382D" w:rsidRDefault="003E4874" w:rsidP="00DE769A">
            <w:r w:rsidRPr="003E4874">
              <w:t>Completes, demonstrates, differentiates, explains, follows, forms, initiates, joins, justifies, proposes, reads, reports, selects, shares, studies, works</w:t>
            </w:r>
          </w:p>
        </w:tc>
      </w:tr>
      <w:tr w:rsidR="0076382D" w:rsidTr="003E4874">
        <w:tc>
          <w:tcPr>
            <w:tcW w:w="1638" w:type="dxa"/>
            <w:shd w:val="clear" w:color="auto" w:fill="B8CCE4" w:themeFill="accent1" w:themeFillTint="66"/>
          </w:tcPr>
          <w:p w:rsidR="0076382D" w:rsidRPr="00666B9B" w:rsidRDefault="0076382D" w:rsidP="00DE769A">
            <w:pPr>
              <w:rPr>
                <w:b/>
              </w:rPr>
            </w:pPr>
            <w:r>
              <w:rPr>
                <w:b/>
              </w:rPr>
              <w:t>Organizes</w:t>
            </w:r>
          </w:p>
        </w:tc>
        <w:tc>
          <w:tcPr>
            <w:tcW w:w="3510" w:type="dxa"/>
            <w:shd w:val="clear" w:color="auto" w:fill="B8CCE4" w:themeFill="accent1" w:themeFillTint="66"/>
          </w:tcPr>
          <w:p w:rsidR="0076382D" w:rsidRDefault="003E4874" w:rsidP="00DE769A">
            <w:r w:rsidRPr="003E4874">
              <w:t xml:space="preserve">Organizes values into priorities by contrasting different values, resolving conflicts between them, and creating </w:t>
            </w:r>
            <w:proofErr w:type="gramStart"/>
            <w:r w:rsidRPr="003E4874">
              <w:t>an</w:t>
            </w:r>
            <w:proofErr w:type="gramEnd"/>
            <w:r w:rsidRPr="003E4874">
              <w:t xml:space="preserve"> unique value system.  The emphasis is on comparing, relating, and synthesizing values. </w:t>
            </w:r>
          </w:p>
        </w:tc>
        <w:tc>
          <w:tcPr>
            <w:tcW w:w="4410" w:type="dxa"/>
            <w:shd w:val="clear" w:color="auto" w:fill="B8CCE4" w:themeFill="accent1" w:themeFillTint="66"/>
          </w:tcPr>
          <w:p w:rsidR="0076382D" w:rsidRDefault="003E4874" w:rsidP="00DE769A">
            <w:r w:rsidRPr="003E4874">
              <w:t>Adheres, alters, arranges, combines, compares, completes, defends, explains, formulates, generalizes, identifies, integrates, modifies, orders, organizes, prepares, relates, synthesizes</w:t>
            </w:r>
          </w:p>
        </w:tc>
      </w:tr>
      <w:tr w:rsidR="0076382D" w:rsidTr="003E4874">
        <w:tc>
          <w:tcPr>
            <w:tcW w:w="1638" w:type="dxa"/>
            <w:shd w:val="clear" w:color="auto" w:fill="B8CCE4" w:themeFill="accent1" w:themeFillTint="66"/>
          </w:tcPr>
          <w:p w:rsidR="0076382D" w:rsidRPr="00666B9B" w:rsidRDefault="0076382D" w:rsidP="00DE769A">
            <w:pPr>
              <w:rPr>
                <w:b/>
              </w:rPr>
            </w:pPr>
            <w:r>
              <w:rPr>
                <w:b/>
              </w:rPr>
              <w:t>Internalizes values</w:t>
            </w:r>
          </w:p>
        </w:tc>
        <w:tc>
          <w:tcPr>
            <w:tcW w:w="3510" w:type="dxa"/>
            <w:shd w:val="clear" w:color="auto" w:fill="B8CCE4" w:themeFill="accent1" w:themeFillTint="66"/>
          </w:tcPr>
          <w:p w:rsidR="0076382D" w:rsidRDefault="003E4874" w:rsidP="00DE769A">
            <w:r w:rsidRPr="003E4874">
              <w:t>Has a value system that controls their behavior. The behavior is pervasive, consistent, predictable, and most importantly, characteristic of the learner. Instructional objectives are concerned with the student's general patterns of adjustment (personal, social, emotional).</w:t>
            </w:r>
          </w:p>
        </w:tc>
        <w:tc>
          <w:tcPr>
            <w:tcW w:w="4410" w:type="dxa"/>
            <w:shd w:val="clear" w:color="auto" w:fill="B8CCE4" w:themeFill="accent1" w:themeFillTint="66"/>
          </w:tcPr>
          <w:p w:rsidR="0076382D" w:rsidRDefault="003E4874" w:rsidP="00DE769A">
            <w:r w:rsidRPr="003E4874">
              <w:rPr>
                <w:lang w:val="fr-FR"/>
              </w:rPr>
              <w:t>Acts, discriminates, displays, influences, listens, modifies, performs, practices, proposes, qualifies, questions, revises, serves, solves, verifies</w:t>
            </w:r>
          </w:p>
        </w:tc>
      </w:tr>
    </w:tbl>
    <w:p w:rsidR="0076382D" w:rsidRPr="0076382D" w:rsidRDefault="0076382D" w:rsidP="0076382D">
      <w:proofErr w:type="spellStart"/>
      <w:r w:rsidRPr="0076382D">
        <w:t>Krathwohl</w:t>
      </w:r>
      <w:proofErr w:type="spellEnd"/>
      <w:r w:rsidRPr="0076382D">
        <w:t xml:space="preserve">, D. R., Bloom, B. S., &amp; </w:t>
      </w:r>
      <w:proofErr w:type="spellStart"/>
      <w:r w:rsidRPr="0076382D">
        <w:t>Masia</w:t>
      </w:r>
      <w:proofErr w:type="spellEnd"/>
      <w:r w:rsidRPr="0076382D">
        <w:t>, B. B. (1973). </w:t>
      </w:r>
      <w:proofErr w:type="gramStart"/>
      <w:r w:rsidRPr="0076382D">
        <w:rPr>
          <w:i/>
          <w:iCs/>
        </w:rPr>
        <w:t>Taxonomy of educational objectives, the Classification of educational goals.</w:t>
      </w:r>
      <w:proofErr w:type="gramEnd"/>
      <w:r w:rsidRPr="0076382D">
        <w:rPr>
          <w:i/>
          <w:iCs/>
        </w:rPr>
        <w:t xml:space="preserve"> Handbook II: Affective domain.</w:t>
      </w:r>
      <w:r w:rsidRPr="0076382D">
        <w:t xml:space="preserve"> New York: David McKay Co., Inc. </w:t>
      </w:r>
    </w:p>
    <w:p w:rsidR="0076382D" w:rsidRDefault="0076382D">
      <w:r>
        <w:t xml:space="preserve">Definitions and key words from </w:t>
      </w:r>
      <w:hyperlink r:id="rId8" w:history="1">
        <w:r w:rsidRPr="0076382D">
          <w:rPr>
            <w:rStyle w:val="Hyperlink"/>
          </w:rPr>
          <w:t>http://www.nwlink.com/~donclark/hrd/bloom.html</w:t>
        </w:r>
      </w:hyperlink>
      <w:r w:rsidRPr="0076382D">
        <w:t xml:space="preserve"> </w:t>
      </w:r>
    </w:p>
    <w:sectPr w:rsidR="0076382D" w:rsidSect="003E48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21D" w:rsidRDefault="008C421D" w:rsidP="008C421D">
      <w:r>
        <w:separator/>
      </w:r>
    </w:p>
  </w:endnote>
  <w:endnote w:type="continuationSeparator" w:id="0">
    <w:p w:rsidR="008C421D" w:rsidRDefault="008C421D" w:rsidP="008C42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1D" w:rsidRDefault="008C4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8454"/>
      <w:docPartObj>
        <w:docPartGallery w:val="Page Numbers (Bottom of Page)"/>
        <w:docPartUnique/>
      </w:docPartObj>
    </w:sdtPr>
    <w:sdtEndPr>
      <w:rPr>
        <w:sz w:val="20"/>
        <w:szCs w:val="20"/>
      </w:rPr>
    </w:sdtEndPr>
    <w:sdtContent>
      <w:p w:rsidR="008C421D" w:rsidRDefault="00BB3042">
        <w:pPr>
          <w:pStyle w:val="Footer"/>
          <w:jc w:val="right"/>
        </w:pPr>
        <w:r w:rsidRPr="008C421D">
          <w:rPr>
            <w:sz w:val="20"/>
            <w:szCs w:val="20"/>
          </w:rPr>
          <w:fldChar w:fldCharType="begin"/>
        </w:r>
        <w:r w:rsidR="008C421D" w:rsidRPr="008C421D">
          <w:rPr>
            <w:sz w:val="20"/>
            <w:szCs w:val="20"/>
          </w:rPr>
          <w:instrText xml:space="preserve"> PAGE   \* MERGEFORMAT </w:instrText>
        </w:r>
        <w:r w:rsidRPr="008C421D">
          <w:rPr>
            <w:sz w:val="20"/>
            <w:szCs w:val="20"/>
          </w:rPr>
          <w:fldChar w:fldCharType="separate"/>
        </w:r>
        <w:r w:rsidR="00154F95">
          <w:rPr>
            <w:noProof/>
            <w:sz w:val="20"/>
            <w:szCs w:val="20"/>
          </w:rPr>
          <w:t>2</w:t>
        </w:r>
        <w:r w:rsidRPr="008C421D">
          <w:rPr>
            <w:sz w:val="20"/>
            <w:szCs w:val="20"/>
          </w:rPr>
          <w:fldChar w:fldCharType="end"/>
        </w:r>
      </w:p>
    </w:sdtContent>
  </w:sdt>
  <w:p w:rsidR="008C421D" w:rsidRDefault="008C42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1D" w:rsidRDefault="008C42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21D" w:rsidRDefault="008C421D" w:rsidP="008C421D">
      <w:r>
        <w:separator/>
      </w:r>
    </w:p>
  </w:footnote>
  <w:footnote w:type="continuationSeparator" w:id="0">
    <w:p w:rsidR="008C421D" w:rsidRDefault="008C421D" w:rsidP="008C42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1D" w:rsidRDefault="008C42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1D" w:rsidRDefault="008C42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1D" w:rsidRDefault="008C42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C0CD9"/>
    <w:rsid w:val="00064E26"/>
    <w:rsid w:val="00154F95"/>
    <w:rsid w:val="00277773"/>
    <w:rsid w:val="00280729"/>
    <w:rsid w:val="003E4874"/>
    <w:rsid w:val="00666B9B"/>
    <w:rsid w:val="0076382D"/>
    <w:rsid w:val="007B1279"/>
    <w:rsid w:val="008C421D"/>
    <w:rsid w:val="00BB3042"/>
    <w:rsid w:val="00CF1B52"/>
    <w:rsid w:val="00E27846"/>
    <w:rsid w:val="00E85436"/>
    <w:rsid w:val="00EC0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4E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6B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666B9B"/>
    <w:rPr>
      <w:color w:val="0000FF" w:themeColor="hyperlink"/>
      <w:u w:val="single"/>
    </w:rPr>
  </w:style>
  <w:style w:type="paragraph" w:styleId="NormalWeb">
    <w:name w:val="Normal (Web)"/>
    <w:basedOn w:val="Normal"/>
    <w:uiPriority w:val="99"/>
    <w:unhideWhenUsed/>
    <w:rsid w:val="0076382D"/>
    <w:pPr>
      <w:spacing w:before="100" w:beforeAutospacing="1" w:after="100" w:afterAutospacing="1"/>
    </w:pPr>
  </w:style>
  <w:style w:type="paragraph" w:styleId="Header">
    <w:name w:val="header"/>
    <w:basedOn w:val="Normal"/>
    <w:link w:val="HeaderChar"/>
    <w:rsid w:val="008C421D"/>
    <w:pPr>
      <w:tabs>
        <w:tab w:val="center" w:pos="4680"/>
        <w:tab w:val="right" w:pos="9360"/>
      </w:tabs>
    </w:pPr>
  </w:style>
  <w:style w:type="character" w:customStyle="1" w:styleId="HeaderChar">
    <w:name w:val="Header Char"/>
    <w:basedOn w:val="DefaultParagraphFont"/>
    <w:link w:val="Header"/>
    <w:rsid w:val="008C421D"/>
    <w:rPr>
      <w:sz w:val="24"/>
      <w:szCs w:val="24"/>
    </w:rPr>
  </w:style>
  <w:style w:type="paragraph" w:styleId="Footer">
    <w:name w:val="footer"/>
    <w:basedOn w:val="Normal"/>
    <w:link w:val="FooterChar"/>
    <w:uiPriority w:val="99"/>
    <w:rsid w:val="008C421D"/>
    <w:pPr>
      <w:tabs>
        <w:tab w:val="center" w:pos="4680"/>
        <w:tab w:val="right" w:pos="9360"/>
      </w:tabs>
    </w:pPr>
  </w:style>
  <w:style w:type="character" w:customStyle="1" w:styleId="FooterChar">
    <w:name w:val="Footer Char"/>
    <w:basedOn w:val="DefaultParagraphFont"/>
    <w:link w:val="Footer"/>
    <w:uiPriority w:val="99"/>
    <w:rsid w:val="008C421D"/>
    <w:rPr>
      <w:sz w:val="24"/>
      <w:szCs w:val="24"/>
    </w:rPr>
  </w:style>
</w:styles>
</file>

<file path=word/webSettings.xml><?xml version="1.0" encoding="utf-8"?>
<w:webSettings xmlns:r="http://schemas.openxmlformats.org/officeDocument/2006/relationships" xmlns:w="http://schemas.openxmlformats.org/wordprocessingml/2006/main">
  <w:divs>
    <w:div w:id="43332695">
      <w:bodyDiv w:val="1"/>
      <w:marLeft w:val="0"/>
      <w:marRight w:val="0"/>
      <w:marTop w:val="0"/>
      <w:marBottom w:val="0"/>
      <w:divBdr>
        <w:top w:val="none" w:sz="0" w:space="0" w:color="auto"/>
        <w:left w:val="none" w:sz="0" w:space="0" w:color="auto"/>
        <w:bottom w:val="none" w:sz="0" w:space="0" w:color="auto"/>
        <w:right w:val="none" w:sz="0" w:space="0" w:color="auto"/>
      </w:divBdr>
    </w:div>
    <w:div w:id="242417851">
      <w:bodyDiv w:val="1"/>
      <w:marLeft w:val="0"/>
      <w:marRight w:val="0"/>
      <w:marTop w:val="0"/>
      <w:marBottom w:val="0"/>
      <w:divBdr>
        <w:top w:val="none" w:sz="0" w:space="0" w:color="auto"/>
        <w:left w:val="none" w:sz="0" w:space="0" w:color="auto"/>
        <w:bottom w:val="none" w:sz="0" w:space="0" w:color="auto"/>
        <w:right w:val="none" w:sz="0" w:space="0" w:color="auto"/>
      </w:divBdr>
    </w:div>
    <w:div w:id="426005823">
      <w:bodyDiv w:val="1"/>
      <w:marLeft w:val="0"/>
      <w:marRight w:val="0"/>
      <w:marTop w:val="0"/>
      <w:marBottom w:val="0"/>
      <w:divBdr>
        <w:top w:val="none" w:sz="0" w:space="0" w:color="auto"/>
        <w:left w:val="none" w:sz="0" w:space="0" w:color="auto"/>
        <w:bottom w:val="none" w:sz="0" w:space="0" w:color="auto"/>
        <w:right w:val="none" w:sz="0" w:space="0" w:color="auto"/>
      </w:divBdr>
    </w:div>
    <w:div w:id="460415349">
      <w:bodyDiv w:val="1"/>
      <w:marLeft w:val="0"/>
      <w:marRight w:val="0"/>
      <w:marTop w:val="0"/>
      <w:marBottom w:val="0"/>
      <w:divBdr>
        <w:top w:val="none" w:sz="0" w:space="0" w:color="auto"/>
        <w:left w:val="none" w:sz="0" w:space="0" w:color="auto"/>
        <w:bottom w:val="none" w:sz="0" w:space="0" w:color="auto"/>
        <w:right w:val="none" w:sz="0" w:space="0" w:color="auto"/>
      </w:divBdr>
    </w:div>
    <w:div w:id="605159834">
      <w:bodyDiv w:val="1"/>
      <w:marLeft w:val="0"/>
      <w:marRight w:val="0"/>
      <w:marTop w:val="0"/>
      <w:marBottom w:val="0"/>
      <w:divBdr>
        <w:top w:val="none" w:sz="0" w:space="0" w:color="auto"/>
        <w:left w:val="none" w:sz="0" w:space="0" w:color="auto"/>
        <w:bottom w:val="none" w:sz="0" w:space="0" w:color="auto"/>
        <w:right w:val="none" w:sz="0" w:space="0" w:color="auto"/>
      </w:divBdr>
    </w:div>
    <w:div w:id="205410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link.com/~donclark/hrd/bloom.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businessballs.com/bloomstaxonomyoflearningdomains.ht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regonstate.edu/instruct/coursedev/models/id/taxonomy/"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537</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Henning</dc:creator>
  <cp:keywords/>
  <dc:description/>
  <cp:lastModifiedBy>Gavin Henning</cp:lastModifiedBy>
  <cp:revision>6</cp:revision>
  <cp:lastPrinted>2010-01-12T13:17:00Z</cp:lastPrinted>
  <dcterms:created xsi:type="dcterms:W3CDTF">2009-12-15T13:11:00Z</dcterms:created>
  <dcterms:modified xsi:type="dcterms:W3CDTF">2010-01-12T17:48:00Z</dcterms:modified>
</cp:coreProperties>
</file>